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1E" w:rsidRDefault="004B33C6">
      <w:pPr>
        <w:rPr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2"/>
          <w:szCs w:val="22"/>
        </w:rPr>
        <w:t>HIGHER NATIONAL CERTIFICATES/DIPLOMAS AND ADVANCED CERTIFICATES/DIPLOMAS</w:t>
      </w:r>
    </w:p>
    <w:p w:rsidR="00E5391E" w:rsidRDefault="004B33C6">
      <w:pPr>
        <w:jc w:val="center"/>
        <w:rPr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GRADED UNITS – 2020-21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Over the last few months, SQA has reviewed its approaches to assessment for all qualification types</w:t>
      </w:r>
      <w:r>
        <w:rPr>
          <w:rFonts w:ascii="Calibri" w:eastAsia="Calibri" w:hAnsi="Calibri" w:cs="Calibri"/>
          <w:sz w:val="22"/>
          <w:szCs w:val="22"/>
        </w:rPr>
        <w:t xml:space="preserve">, to help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the management of assessment under the restrictions associated with the COVID-19 pandemic.  In addition, the recent increase in restrictions and the associated impact on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delivering SQA qualifications, is causing increased con</w:t>
      </w:r>
      <w:r>
        <w:rPr>
          <w:rFonts w:ascii="Calibri" w:eastAsia="Calibri" w:hAnsi="Calibri" w:cs="Calibri"/>
          <w:sz w:val="22"/>
          <w:szCs w:val="22"/>
        </w:rPr>
        <w:t xml:space="preserve">cern in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regarding their ability to complete all current assessment requirements, with </w:t>
      </w:r>
      <w:proofErr w:type="gramStart"/>
      <w:r>
        <w:rPr>
          <w:rFonts w:ascii="Calibri" w:eastAsia="Calibri" w:hAnsi="Calibri" w:cs="Calibri"/>
          <w:sz w:val="22"/>
          <w:szCs w:val="22"/>
        </w:rPr>
        <w:t>the vast majority of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teaching and learning taking place remotely.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Following this review, we are removing the need to complete the assessment of Graded Units (exa</w:t>
      </w:r>
      <w:r>
        <w:rPr>
          <w:rFonts w:ascii="Calibri" w:eastAsia="Calibri" w:hAnsi="Calibri" w:cs="Calibri"/>
          <w:sz w:val="22"/>
          <w:szCs w:val="22"/>
        </w:rPr>
        <w:t>m-based and project-based) in HNC, HND and ACD Group Awards for the current academic session 2020-21.  A small number of exceptions will be advised, for example where the qualification is linked with registration with a professional association or has mand</w:t>
      </w:r>
      <w:r>
        <w:rPr>
          <w:rFonts w:ascii="Calibri" w:eastAsia="Calibri" w:hAnsi="Calibri" w:cs="Calibri"/>
          <w:sz w:val="22"/>
          <w:szCs w:val="22"/>
        </w:rPr>
        <w:t>atory responsibilities under a Qualification Partnership Agreement.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What does this mean for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>?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Grading will be determined by teaching staff directly involved in delivery and assessment using evidence generated during completion of the units in an </w:t>
      </w:r>
      <w:r>
        <w:rPr>
          <w:rFonts w:ascii="Calibri" w:eastAsia="Calibri" w:hAnsi="Calibri" w:cs="Calibri"/>
          <w:sz w:val="22"/>
          <w:szCs w:val="22"/>
        </w:rPr>
        <w:t xml:space="preserve">award. </w:t>
      </w:r>
    </w:p>
    <w:p w:rsidR="00E5391E" w:rsidRDefault="004B33C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Allowing more time to focus on teaching, learning and assessment</w:t>
      </w:r>
    </w:p>
    <w:p w:rsidR="00E5391E" w:rsidRDefault="004B33C6">
      <w:pPr>
        <w:numPr>
          <w:ilvl w:val="0"/>
          <w:numId w:val="1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Reducing time spent on additional assessment required for Graded Units</w:t>
      </w: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What does this mean for candidates?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Candidates will receive a quality assured grade based on evidence generated</w:t>
      </w:r>
      <w:r>
        <w:rPr>
          <w:rFonts w:ascii="Calibri" w:eastAsia="Calibri" w:hAnsi="Calibri" w:cs="Calibri"/>
          <w:sz w:val="22"/>
          <w:szCs w:val="22"/>
        </w:rPr>
        <w:t xml:space="preserve"> during completion of the units in an award</w:t>
      </w:r>
    </w:p>
    <w:p w:rsidR="00E5391E" w:rsidRDefault="004B33C6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Allowing candidates more teaching and learning time</w:t>
      </w:r>
    </w:p>
    <w:p w:rsidR="00E5391E" w:rsidRDefault="004B33C6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Reducing time spent on additional assessment required for Graded Units</w:t>
      </w:r>
    </w:p>
    <w:p w:rsidR="00E5391E" w:rsidRDefault="004B33C6">
      <w:pPr>
        <w:numPr>
          <w:ilvl w:val="0"/>
          <w:numId w:val="2"/>
        </w:numPr>
        <w:pBdr>
          <w:left w:val="none" w:sz="0" w:space="7" w:color="auto"/>
        </w:pBdr>
        <w:spacing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Candidates will be certificated for the full award</w:t>
      </w:r>
    </w:p>
    <w:p w:rsidR="00E5391E" w:rsidRDefault="004B33C6">
      <w:pPr>
        <w:numPr>
          <w:ilvl w:val="0"/>
          <w:numId w:val="2"/>
        </w:numPr>
        <w:pBdr>
          <w:left w:val="none" w:sz="0" w:space="7" w:color="auto"/>
        </w:pBdr>
        <w:spacing w:after="200" w:line="276" w:lineRule="auto"/>
        <w:ind w:hanging="43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There will be no change to the </w:t>
      </w:r>
      <w:r>
        <w:rPr>
          <w:rFonts w:ascii="Calibri" w:eastAsia="Calibri" w:hAnsi="Calibri" w:cs="Calibri"/>
          <w:sz w:val="22"/>
          <w:szCs w:val="22"/>
        </w:rPr>
        <w:t>number of credit points achieved by candidates.</w:t>
      </w: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Generic guidance with examples for exam-based and project-based Graded Units will be produced to support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with grading decisions. These decisions will be based on evidence that candidates generate duri</w:t>
      </w:r>
      <w:r>
        <w:rPr>
          <w:rFonts w:ascii="Calibri" w:eastAsia="Calibri" w:hAnsi="Calibri" w:cs="Calibri"/>
          <w:sz w:val="22"/>
          <w:szCs w:val="22"/>
        </w:rPr>
        <w:t>ng completion of the units in an award.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Further information on the adaptation to Quality Assurance activity will be communicated to all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prior to qualification verification selections being released to </w:t>
      </w:r>
      <w:proofErr w:type="spellStart"/>
      <w:r>
        <w:rPr>
          <w:rFonts w:ascii="Calibri" w:eastAsia="Calibri" w:hAnsi="Calibri" w:cs="Calibri"/>
          <w:sz w:val="22"/>
          <w:szCs w:val="22"/>
        </w:rPr>
        <w:t>centres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E5391E" w:rsidRDefault="00E5391E">
      <w:pPr>
        <w:rPr>
          <w:sz w:val="22"/>
          <w:szCs w:val="22"/>
        </w:rPr>
      </w:pPr>
    </w:p>
    <w:p w:rsidR="00E5391E" w:rsidRDefault="004B33C6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Enquiries should be directed </w:t>
      </w:r>
      <w:proofErr w:type="gramStart"/>
      <w:r>
        <w:rPr>
          <w:rFonts w:ascii="Calibri" w:eastAsia="Calibri" w:hAnsi="Calibri" w:cs="Calibri"/>
          <w:sz w:val="22"/>
          <w:szCs w:val="22"/>
        </w:rPr>
        <w:t>to 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5" w:history="1">
        <w:r>
          <w:rPr>
            <w:rFonts w:ascii="Calibri" w:eastAsia="Calibri" w:hAnsi="Calibri" w:cs="Calibri"/>
            <w:color w:val="0563C1"/>
            <w:sz w:val="22"/>
            <w:szCs w:val="22"/>
            <w:u w:val="single" w:color="0563C1"/>
          </w:rPr>
          <w:t>operationshnvq@sqa.org.uk</w:t>
        </w:r>
      </w:hyperlink>
    </w:p>
    <w:sectPr w:rsidR="00E5391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5288B394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DB5E3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AA99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A26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D6B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12BA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689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F05E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2AAE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E27C2D4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2A844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AC3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E85D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AEDC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5A5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249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5E05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2693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1E"/>
    <w:rsid w:val="004B33C6"/>
    <w:rsid w:val="00E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BCE1F-D575-4B7B-AB42-F53A4AD6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tionshnvq@sqa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1938</Characters>
  <Application>Microsoft Office Word</Application>
  <DocSecurity>0</DocSecurity>
  <Lines>62</Lines>
  <Paragraphs>30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Meredith</dc:creator>
  <cp:lastModifiedBy>Nicola Meredith</cp:lastModifiedBy>
  <cp:revision>2</cp:revision>
  <dcterms:created xsi:type="dcterms:W3CDTF">2020-11-02T16:01:00Z</dcterms:created>
  <dcterms:modified xsi:type="dcterms:W3CDTF">2020-11-02T16:01:00Z</dcterms:modified>
</cp:coreProperties>
</file>